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2800"/>
        <w:gridCol w:w="5266"/>
        <w:gridCol w:w="2400"/>
      </w:tblGrid>
      <w:tr>
        <w:tc>
          <w:tcPr>
            <w:tcBorders>
              <w:top w:val="none" w:color="FFFFFF" w:sz="0"/>
              <w:left w:val="none" w:color="FFFFFF" w:sz="0"/>
              <w:bottom w:val="none" w:color="FFFFFF" w:sz="0"/>
              <w:right w:val="none" w:color="FFFFFF" w:sz="0"/>
            </w:tcBorders>
            <w:tcMar>
              <w:top w:type="dxa" w:w="0"/>
              <w:left w:type="dxa" w:w="0"/>
              <w:bottom w:type="dxa" w:w="0"/>
              <w:right w:type="dxa" w:w="0"/>
            </w:tcMar>
            <w:vAlign w:val="center"/>
          </w:tcPr>
          <w:p>
            <w:r>
              <w:drawing>
                <wp:inline distT="0" distB="0" distL="0" distR="0">
                  <wp:extent cx="1381125" cy="2476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381125" cy="247650"/>
                          </a:xfrm>
                          <a:prstGeom prst="rect">
                            <a:avLst/>
                          </a:prstGeom>
                        </pic:spPr>
                      </pic:pic>
                    </a:graphicData>
                  </a:graphic>
                </wp:inline>
              </w:drawing>
            </w:r>
          </w:p>
        </w:tc>
        <w:tc>
          <w:tcPr>
            <w:tcBorders>
              <w:top w:val="none" w:color="FFFFFF" w:sz="0"/>
              <w:left w:val="none" w:color="FFFFFF" w:sz="0"/>
              <w:bottom w:val="none" w:color="FFFFFF" w:sz="0"/>
              <w:right w:val="none" w:color="FFFFFF" w:sz="0"/>
            </w:tcBorders>
            <w:tcMar>
              <w:top w:type="dxa" w:w="60"/>
              <w:left w:type="dxa" w:w="200"/>
              <w:bottom w:type="dxa" w:w="60"/>
              <w:right w:type="dxa" w:w="200"/>
            </w:tcMar>
            <w:vAlign w:val="center"/>
          </w:tcPr>
          <w:p>
            <w:pPr>
              <w:jc w:val="center"/>
            </w:pPr>
            <w:r>
              <w:rPr>
                <w:rFonts w:ascii="Calibri" w:cs="Calibri" w:eastAsia="Calibri" w:hAnsi="Calibri"/>
                <w:b/>
                <w:bCs/>
                <w:color w:val="1B5EA6"/>
                <w:sz w:val="21"/>
                <w:szCs w:val="21"/>
              </w:rPr>
              <w:t xml:space="preserve">PREISLISTE DES AUTOMATISIERTEN FAHRRADVERLEIHSYSTEMS</w:t>
            </w:r>
          </w:p>
          <w:p>
            <w:pPr>
              <w:jc w:val="center"/>
            </w:pPr>
            <w:r>
              <w:rPr>
                <w:rFonts w:ascii="Calibri" w:cs="Calibri" w:eastAsia="Calibri" w:hAnsi="Calibri"/>
                <w:color w:val="888888"/>
                <w:sz w:val="17"/>
                <w:szCs w:val="17"/>
              </w:rPr>
              <w:t>Preisliste 02  ·  gültig ab 16.04.2026</w:t>
            </w:r>
          </w:p>
        </w:tc>
        <w:tc>
          <w:tcPr>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jc w:val="right"/>
            </w:pPr>
            <w:r>
              <w:drawing>
                <wp:inline distT="0" distB="0" distL="0" distR="0">
                  <wp:extent cx="131445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314450" cy="457200"/>
                          </a:xfrm>
                          <a:prstGeom prst="rect">
                            <a:avLst/>
                          </a:prstGeom>
                        </pic:spPr>
                      </pic:pic>
                    </a:graphicData>
                  </a:graphic>
                </wp:inline>
              </w:drawing>
            </w:r>
          </w:p>
        </w:tc>
      </w:tr>
    </w:tbl>
    <w:p>
      <w:pPr>
        <w:pBdr>
          <w:bottom w:val="single" w:color="F0A500" w:sz="14" w:space="1"/>
        </w:pBdr>
        <w:spacing w:before="60" w:after="140"/>
      </w:pP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5100"/>
        <w:gridCol w:w="100"/>
        <w:gridCol w:w="5266"/>
      </w:tblGrid>
      <w:tr>
        <w:tc>
          <w:tcPr>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tbl>
            <w:tblPr>
              <w:tblW w:type="dxa" w:w="5100"/>
              <w:tblBorders>
                <w:top w:val="single" w:color="auto" w:sz="4"/>
                <w:left w:val="single" w:color="auto" w:sz="4"/>
                <w:bottom w:val="single" w:color="auto" w:sz="4"/>
                <w:right w:val="single" w:color="auto" w:sz="4"/>
                <w:insideH w:val="single" w:color="auto" w:sz="4"/>
                <w:insideV w:val="single" w:color="auto" w:sz="4"/>
              </w:tblBorders>
            </w:tblPr>
            <w:tblGrid>
              <w:gridCol w:w="5100"/>
            </w:tblGrid>
            <w:tr>
              <w:tc>
                <w:tcPr>
                  <w:tcBorders>
                    <w:top w:val="none" w:color="FFFFFF" w:sz="0"/>
                    <w:left w:val="none" w:color="FFFFFF" w:sz="0"/>
                    <w:bottom w:val="none" w:color="FFFFFF" w:sz="0"/>
                    <w:right w:val="none" w:color="FFFFFF" w:sz="0"/>
                  </w:tcBorders>
                  <w:shd w:fill="1B5EA6" w:val="clear"/>
                  <w:tcMar>
                    <w:top w:type="dxa" w:w="100"/>
                    <w:left w:type="dxa" w:w="0"/>
                    <w:bottom w:type="dxa" w:w="90"/>
                    <w:right w:type="dxa" w:w="160"/>
                  </w:tcMar>
                </w:tcPr>
                <w:p>
                  <w:pPr>
                    <w:pBdr>
                      <w:left w:val="single" w:color="F0A500" w:sz="18" w:space="6"/>
                    </w:pBdr>
                    <w:ind w:left="160"/>
                  </w:pPr>
                  <w:r>
                    <w:rPr>
                      <w:rFonts w:ascii="Calibri" w:cs="Calibri" w:eastAsia="Calibri" w:hAnsi="Calibri"/>
                      <w:b/>
                      <w:bCs/>
                      <w:color w:val="FFFFFF"/>
                      <w:sz w:val="21"/>
                      <w:szCs w:val="21"/>
                    </w:rPr>
                    <w:t xml:space="preserve">STANDARDTARIF</w:t>
                  </w:r>
                </w:p>
              </w:tc>
            </w:tr>
            <w:tr>
              <w:tc>
                <w:tcPr>
                  <w:tcBorders>
                    <w:top w:val="none" w:color="FFFFFF" w:sz="0"/>
                    <w:left w:val="none" w:color="FFFFFF" w:sz="0"/>
                    <w:bottom w:val="single" w:color="D0D8E4" w:sz="1"/>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Basispaket Minuten (Voraussetzung für Aktivierung)</w:t>
                  </w:r>
                  <w:r>
                    <w:rPr>
                      <w:rFonts w:ascii="Calibri" w:cs="Calibri" w:eastAsia="Calibri" w:hAnsi="Calibri"/>
                      <w:b/>
                      <w:bCs/>
                      <w:color w:val="1B5EA6"/>
                      <w:sz w:val="18"/>
                      <w:szCs w:val="18"/>
                    </w:rPr>
                    <w:t xml:space="preserve">  5,00 €</w:t>
                  </w:r>
                </w:p>
              </w:tc>
            </w:tr>
            <w:tr>
              <w:tc>
                <w:tcPr>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 enthält 200 Minuten Fahrradleihe</w:t>
                  </w:r>
                </w:p>
              </w:tc>
            </w:tr>
            <w:tr>
              <w:tc>
                <w:tcPr>
                  <w:tcBorders>
                    <w:top w:val="none" w:color="FFFFFF" w:sz="0"/>
                    <w:left w:val="none" w:color="FFFFFF" w:sz="0"/>
                    <w:bottom w:val="single" w:color="D0D8E4" w:sz="1"/>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Normales Fahrrad</w:t>
                  </w:r>
                  <w:r>
                    <w:rPr>
                      <w:rFonts w:ascii="Calibri" w:cs="Calibri" w:eastAsia="Calibri" w:hAnsi="Calibri"/>
                      <w:b/>
                      <w:bCs/>
                      <w:color w:val="1B5EA6"/>
                      <w:sz w:val="18"/>
                      <w:szCs w:val="18"/>
                    </w:rPr>
                    <w:t xml:space="preserve">  0,50 € / 30 min</w:t>
                  </w:r>
                </w:p>
              </w:tc>
            </w:tr>
            <w:tr>
              <w:tc>
                <w:tcPr>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E-Bike</w:t>
                  </w:r>
                  <w:r>
                    <w:rPr>
                      <w:rFonts w:ascii="Calibri" w:cs="Calibri" w:eastAsia="Calibri" w:hAnsi="Calibri"/>
                      <w:b/>
                      <w:bCs/>
                      <w:color w:val="1B5EA6"/>
                      <w:sz w:val="18"/>
                      <w:szCs w:val="18"/>
                    </w:rPr>
                    <w:t xml:space="preserve">  1,00 € / 30 min</w:t>
                  </w:r>
                </w:p>
              </w:tc>
            </w:tr>
            <w:tr>
              <w:tc>
                <w:tcPr>
                  <w:tcBorders>
                    <w:top w:val="none" w:color="FFFFFF" w:sz="0"/>
                    <w:left w:val="none" w:color="FFFFFF" w:sz="0"/>
                    <w:bottom w:val="single" w:color="D0D8E4" w:sz="1"/>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Vorab-Reservierung (15 min)</w:t>
                  </w:r>
                  <w:r>
                    <w:rPr>
                      <w:rFonts w:ascii="Calibri" w:cs="Calibri" w:eastAsia="Calibri" w:hAnsi="Calibri"/>
                      <w:b/>
                      <w:bCs/>
                      <w:color w:val="1B5EA6"/>
                      <w:sz w:val="18"/>
                      <w:szCs w:val="18"/>
                    </w:rPr>
                    <w:t xml:space="preserve">  kostenlos</w:t>
                  </w:r>
                </w:p>
              </w:tc>
            </w:tr>
            <w:tr>
              <w:tc>
                <w:tcPr>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Maximaler Tagespreis</w:t>
                  </w:r>
                  <w:r>
                    <w:rPr>
                      <w:rFonts w:ascii="Calibri" w:cs="Calibri" w:eastAsia="Calibri" w:hAnsi="Calibri"/>
                      <w:b/>
                      <w:bCs/>
                      <w:color w:val="1B5EA6"/>
                      <w:sz w:val="18"/>
                      <w:szCs w:val="18"/>
                    </w:rPr>
                    <w:t xml:space="preserve">  20,00 €</w:t>
                  </w:r>
                </w:p>
              </w:tc>
            </w:tr>
            <w:tr>
              <w:tc>
                <w:tcPr>
                  <w:tcBorders>
                    <w:top w:val="none" w:color="FFFFFF" w:sz="0"/>
                    <w:left w:val="none" w:color="FFFFFF" w:sz="0"/>
                    <w:bottom w:val="single" w:color="1B5EA6" w:sz="2"/>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 Tagesmaximum gilt 24 Std. ab Beginn der Ausleihe</w:t>
                  </w:r>
                </w:p>
              </w:tc>
            </w:tr>
          </w:tbl>
          <w:p/>
        </w:tc>
        <w:tc>
          <w:tcPr>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r>
              <w:t xml:space="preserve"/>
            </w:r>
          </w:p>
        </w:tc>
        <w:tc>
          <w:tcPr>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tbl>
            <w:tblPr>
              <w:tblW w:type="dxa" w:w="5266"/>
              <w:tblBorders>
                <w:top w:val="single" w:color="auto" w:sz="4"/>
                <w:left w:val="single" w:color="auto" w:sz="4"/>
                <w:bottom w:val="single" w:color="auto" w:sz="4"/>
                <w:right w:val="single" w:color="auto" w:sz="4"/>
                <w:insideH w:val="single" w:color="auto" w:sz="4"/>
                <w:insideV w:val="single" w:color="auto" w:sz="4"/>
              </w:tblBorders>
            </w:tblPr>
            <w:tblGrid>
              <w:gridCol w:w="5266"/>
            </w:tblGrid>
            <w:tr>
              <w:tc>
                <w:tcPr>
                  <w:tcBorders>
                    <w:top w:val="none" w:color="FFFFFF" w:sz="0"/>
                    <w:left w:val="none" w:color="FFFFFF" w:sz="0"/>
                    <w:bottom w:val="none" w:color="FFFFFF" w:sz="0"/>
                    <w:right w:val="none" w:color="FFFFFF" w:sz="0"/>
                  </w:tcBorders>
                  <w:shd w:fill="1B5EA6" w:val="clear"/>
                  <w:tcMar>
                    <w:top w:type="dxa" w:w="100"/>
                    <w:left w:type="dxa" w:w="0"/>
                    <w:bottom w:type="dxa" w:w="90"/>
                    <w:right w:type="dxa" w:w="160"/>
                  </w:tcMar>
                </w:tcPr>
                <w:p>
                  <w:pPr>
                    <w:pBdr>
                      <w:left w:val="single" w:color="F0A500" w:sz="18" w:space="6"/>
                    </w:pBdr>
                    <w:ind w:left="160"/>
                  </w:pPr>
                  <w:r>
                    <w:rPr>
                      <w:rFonts w:ascii="Calibri" w:cs="Calibri" w:eastAsia="Calibri" w:hAnsi="Calibri"/>
                      <w:b/>
                      <w:bCs/>
                      <w:color w:val="FFFFFF"/>
                      <w:sz w:val="21"/>
                      <w:szCs w:val="21"/>
                    </w:rPr>
                    <w:t xml:space="preserve">JAHRESTARIF</w:t>
                  </w:r>
                </w:p>
              </w:tc>
            </w:tr>
            <w:tr>
              <w:tc>
                <w:tcPr>
                  <w:tcBorders>
                    <w:top w:val="none" w:color="FFFFFF" w:sz="0"/>
                    <w:left w:val="none" w:color="FFFFFF" w:sz="0"/>
                    <w:bottom w:val="single" w:color="D0D8E4" w:sz="1"/>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Jahresabonnement</w:t>
                  </w:r>
                  <w:r>
                    <w:rPr>
                      <w:rFonts w:ascii="Calibri" w:cs="Calibri" w:eastAsia="Calibri" w:hAnsi="Calibri"/>
                      <w:b/>
                      <w:bCs/>
                      <w:color w:val="1B5EA6"/>
                      <w:sz w:val="18"/>
                      <w:szCs w:val="18"/>
                    </w:rPr>
                    <w:t xml:space="preserve">  20,00 €</w:t>
                  </w:r>
                </w:p>
              </w:tc>
            </w:tr>
            <w:tr>
              <w:tc>
                <w:tcPr>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Laufzeit</w:t>
                  </w:r>
                  <w:r>
                    <w:rPr>
                      <w:rFonts w:ascii="Calibri" w:cs="Calibri" w:eastAsia="Calibri" w:hAnsi="Calibri"/>
                      <w:b/>
                      <w:bCs/>
                      <w:color w:val="1B5EA6"/>
                      <w:sz w:val="18"/>
                      <w:szCs w:val="18"/>
                    </w:rPr>
                    <w:t xml:space="preserve">  12 Monate</w:t>
                  </w:r>
                </w:p>
              </w:tc>
            </w:tr>
            <w:tr>
              <w:tc>
                <w:tcPr>
                  <w:tcBorders>
                    <w:top w:val="none" w:color="FFFFFF" w:sz="0"/>
                    <w:left w:val="none" w:color="FFFFFF" w:sz="0"/>
                    <w:bottom w:val="single" w:color="D0D8E4" w:sz="1"/>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Erste 30 Min. jeder Ausleihe</w:t>
                  </w:r>
                  <w:r>
                    <w:rPr>
                      <w:rFonts w:ascii="Calibri" w:cs="Calibri" w:eastAsia="Calibri" w:hAnsi="Calibri"/>
                      <w:b/>
                      <w:bCs/>
                      <w:color w:val="1B5EA6"/>
                      <w:sz w:val="18"/>
                      <w:szCs w:val="18"/>
                    </w:rPr>
                    <w:t xml:space="preserve">  kostenlos</w:t>
                  </w:r>
                </w:p>
              </w:tc>
            </w:tr>
            <w:tr>
              <w:tc>
                <w:tcPr>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r>
                    <w:rPr>
                      <w:rFonts w:ascii="Calibri" w:cs="Calibri" w:eastAsia="Calibri" w:hAnsi="Calibri"/>
                      <w:color w:val="1F2937"/>
                      <w:sz w:val="18"/>
                      <w:szCs w:val="18"/>
                    </w:rPr>
                    <w:t>Normales Fahrrad (nach 30 min)  0,50 € / 30 min</w:t>
                  </w:r>
                  <w:r>
                    <w:rPr>
                      <w:rFonts w:ascii="Calibri" w:cs="Calibri" w:eastAsia="Calibri" w:hAnsi="Calibri"/>
                      <w:b/>
                      <w:bCs/>
                      <w:color w:val="1B5EA6"/>
                      <w:sz w:val="18"/>
                      <w:szCs w:val="18"/>
                    </w:rPr>
                  </w:r>
                </w:p>
              </w:tc>
            </w:tr>
            <w:tr>
              <w:tc>
                <w:tcPr>
                  <w:tcBorders>
                    <w:top w:val="none" w:color="FFFFFF" w:sz="0"/>
                    <w:left w:val="none" w:color="FFFFFF" w:sz="0"/>
                    <w:bottom w:val="single" w:color="D0D8E4" w:sz="1"/>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E-Bike (nach 30 min)  1,00 € / 30 min</w:t>
                  </w:r>
                  <w:r>
                    <w:rPr>
                      <w:rFonts w:ascii="Calibri" w:cs="Calibri" w:eastAsia="Calibri" w:hAnsi="Calibri"/>
                      <w:b/>
                      <w:bCs/>
                      <w:color w:val="1B5EA6"/>
                      <w:sz w:val="18"/>
                      <w:szCs w:val="18"/>
                    </w:rPr>
                  </w:r>
                </w:p>
              </w:tc>
            </w:tr>
            <w:tr>
              <w:tc>
                <w:tcPr>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1 Fahrrad / 1 Nutzer</w:t>
                  </w:r>
                </w:p>
              </w:tc>
            </w:tr>
            <w:tr>
              <w:tc>
                <w:tcPr>
                  <w:tcBorders>
                    <w:top w:val="none" w:color="FFFFFF" w:sz="0"/>
                    <w:left w:val="none" w:color="FFFFFF" w:sz="0"/>
                    <w:bottom w:val="single" w:color="1B5EA6" w:sz="2"/>
                    <w:right w:val="none" w:color="FFFFFF" w:sz="0"/>
                  </w:tcBorders>
                  <w:shd w:fill="EAF1FC" w:val="clear"/>
                  <w:tcMar>
                    <w:top w:type="dxa" w:w="72"/>
                    <w:left w:type="dxa" w:w="160"/>
                    <w:bottom w:type="dxa" w:w="72"/>
                    <w:right w:type="dxa" w:w="160"/>
                  </w:tcMar>
                </w:tcPr>
                <w:p>
                  <w:r>
                    <w:rPr>
                      <w:rFonts w:ascii="Calibri" w:cs="Calibri" w:eastAsia="Calibri" w:hAnsi="Calibri"/>
                      <w:color w:val="1F2937"/>
                      <w:sz w:val="18"/>
                      <w:szCs w:val="18"/>
                    </w:rPr>
                    <w:t xml:space="preserve">Mindestlaufzeit</w:t>
                  </w:r>
                  <w:r>
                    <w:rPr>
                      <w:rFonts w:ascii="Calibri" w:cs="Calibri" w:eastAsia="Calibri" w:hAnsi="Calibri"/>
                      <w:b/>
                      <w:bCs/>
                      <w:color w:val="1B5EA6"/>
                      <w:sz w:val="18"/>
                      <w:szCs w:val="18"/>
                    </w:rPr>
                    <w:t xml:space="preserve">  12 Monate</w:t>
                  </w:r>
                </w:p>
              </w:tc>
            </w:tr>
          </w:tbl>
          <w:p/>
        </w:tc>
      </w:tr>
    </w:tbl>
    <w:p>
      <w:pPr>
        <w:spacing w:before="0" w:after="120"/>
      </w:pPr>
      <w:r>
        <w:t xml:space="preserve"/>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7200"/>
        <w:gridCol w:w="3266"/>
      </w:tblGrid>
      <w:tr>
        <w:tc>
          <w:tcPr>
            <w:gridSpan w:val="2"/>
            <w:tcBorders>
              <w:top w:val="none" w:color="FFFFFF" w:sz="0"/>
              <w:left w:val="none" w:color="FFFFFF" w:sz="0"/>
              <w:bottom w:val="none" w:color="FFFFFF" w:sz="0"/>
              <w:right w:val="none" w:color="FFFFFF" w:sz="0"/>
            </w:tcBorders>
            <w:shd w:fill="1B5EA6" w:val="clear"/>
            <w:tcMar>
              <w:top w:type="dxa" w:w="90"/>
              <w:left w:type="dxa" w:w="0"/>
              <w:bottom w:type="dxa" w:w="90"/>
              <w:right w:type="dxa" w:w="160"/>
            </w:tcMar>
          </w:tcPr>
          <w:p>
            <w:pPr>
              <w:pBdr>
                <w:left w:val="single" w:color="F0A500" w:sz="18" w:space="6"/>
              </w:pBdr>
              <w:ind w:left="160"/>
            </w:pPr>
            <w:r>
              <w:rPr>
                <w:rFonts w:ascii="Calibri" w:cs="Calibri" w:eastAsia="Calibri" w:hAnsi="Calibri"/>
                <w:b/>
                <w:bCs/>
                <w:color w:val="FFFFFF"/>
                <w:sz w:val="21"/>
                <w:szCs w:val="21"/>
              </w:rPr>
              <w:t xml:space="preserve">GEBÜHREN UND STRAFEN</w:t>
            </w:r>
          </w:p>
        </w:tc>
      </w:tr>
      <w:tr>
        <w:tc>
          <w:tcPr>
            <w:tcW w:type="dxa" w:w="7200"/>
            <w:tcBorders>
              <w:top w:val="none" w:color="FFFFFF" w:sz="0"/>
              <w:left w:val="none" w:color="FFFFFF" w:sz="0"/>
              <w:bottom w:val="single" w:color="D0D8E4" w:sz="1"/>
              <w:right w:val="single" w:color="D0D8E4" w:sz="1"/>
            </w:tcBorders>
            <w:shd w:fill="FFFFFF" w:val="clear"/>
            <w:tcMar>
              <w:top w:type="dxa" w:w="72"/>
              <w:left w:type="dxa" w:w="160"/>
              <w:bottom w:type="dxa" w:w="72"/>
              <w:right w:type="dxa" w:w="160"/>
            </w:tcMar>
          </w:tcPr>
          <w:p>
            <w:r>
              <w:rPr>
                <w:rFonts w:ascii="Calibri" w:cs="Calibri" w:eastAsia="Calibri" w:hAnsi="Calibri"/>
                <w:color w:val="1F2937"/>
                <w:sz w:val="18"/>
                <w:szCs w:val="18"/>
              </w:rPr>
              <w:t xml:space="preserve">Ausstellung einer Nutzerkarte</w:t>
            </w:r>
          </w:p>
        </w:tc>
        <w:tc>
          <w:tcPr>
            <w:tcW w:type="dxa" w:w="3266"/>
            <w:tcBorders>
              <w:top w:val="none" w:color="FFFFFF" w:sz="0"/>
              <w:left w:val="none" w:color="FFFFFF" w:sz="0"/>
              <w:bottom w:val="single" w:color="D0D8E4" w:sz="1"/>
              <w:right w:val="none" w:color="FFFFFF" w:sz="0"/>
            </w:tcBorders>
            <w:shd w:fill="FFFFFF"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3,00 €</w:t>
            </w:r>
          </w:p>
        </w:tc>
      </w:tr>
      <w:tr>
        <w:tc>
          <w:tcPr>
            <w:tcW w:type="dxa" w:w="7200"/>
            <w:tcBorders>
              <w:top w:val="none" w:color="FFFFFF" w:sz="0"/>
              <w:left w:val="none" w:color="FFFFFF" w:sz="0"/>
              <w:bottom w:val="single" w:color="D0D8E4" w:sz="1"/>
              <w:right w:val="single" w:color="D0D8E4" w:sz="1"/>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Nicht ordnungsgemäße Rückgabe (1. Verstoß)</w:t>
            </w:r>
          </w:p>
        </w:tc>
        <w:tc>
          <w:tcPr>
            <w:tcW w:type="dxa" w:w="3266"/>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25,00 €</w:t>
            </w:r>
          </w:p>
        </w:tc>
      </w:tr>
      <w:tr>
        <w:tc>
          <w:tcPr>
            <w:tcW w:type="dxa" w:w="7200"/>
            <w:tcBorders>
              <w:top w:val="none" w:color="FFFFFF" w:sz="0"/>
              <w:left w:val="none" w:color="FFFFFF" w:sz="0"/>
              <w:bottom w:val="single" w:color="D0D8E4" w:sz="1"/>
              <w:right w:val="single" w:color="D0D8E4" w:sz="1"/>
            </w:tcBorders>
            <w:shd w:fill="FFFFFF" w:val="clear"/>
            <w:tcMar>
              <w:top w:type="dxa" w:w="72"/>
              <w:left w:type="dxa" w:w="160"/>
              <w:bottom w:type="dxa" w:w="72"/>
              <w:right w:type="dxa" w:w="160"/>
            </w:tcMar>
          </w:tcPr>
          <w:p>
            <w:r>
              <w:rPr>
                <w:rFonts w:ascii="Calibri" w:cs="Calibri" w:eastAsia="Calibri" w:hAnsi="Calibri"/>
                <w:color w:val="1F2937"/>
                <w:sz w:val="18"/>
                <w:szCs w:val="18"/>
              </w:rPr>
              <w:t xml:space="preserve">Nicht ordnungsgemäßes Abschließen – 1. Verstoß</w:t>
            </w:r>
          </w:p>
        </w:tc>
        <w:tc>
          <w:tcPr>
            <w:tcW w:type="dxa" w:w="3266"/>
            <w:tcBorders>
              <w:top w:val="none" w:color="FFFFFF" w:sz="0"/>
              <w:left w:val="none" w:color="FFFFFF" w:sz="0"/>
              <w:bottom w:val="single" w:color="D0D8E4" w:sz="1"/>
              <w:right w:val="none" w:color="FFFFFF" w:sz="0"/>
            </w:tcBorders>
            <w:shd w:fill="FFFFFF"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schriftliche Verwarnung</w:t>
            </w:r>
          </w:p>
        </w:tc>
      </w:tr>
      <w:tr>
        <w:tc>
          <w:tcPr>
            <w:tcW w:type="dxa" w:w="7200"/>
            <w:tcBorders>
              <w:top w:val="none" w:color="FFFFFF" w:sz="0"/>
              <w:left w:val="none" w:color="FFFFFF" w:sz="0"/>
              <w:bottom w:val="single" w:color="D0D8E4" w:sz="1"/>
              <w:right w:val="single" w:color="D0D8E4" w:sz="1"/>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Nicht ordnungsgemäßes Abschließen – jeder weitere Verstoß</w:t>
            </w:r>
          </w:p>
        </w:tc>
        <w:tc>
          <w:tcPr>
            <w:tcW w:type="dxa" w:w="3266"/>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10,00 €</w:t>
            </w:r>
          </w:p>
        </w:tc>
      </w:tr>
      <w:tr>
        <w:tc>
          <w:tcPr>
            <w:tcW w:type="dxa" w:w="7200"/>
            <w:tcBorders>
              <w:top w:val="none" w:color="FFFFFF" w:sz="0"/>
              <w:left w:val="none" w:color="FFFFFF" w:sz="0"/>
              <w:bottom w:val="single" w:color="D0D8E4" w:sz="1"/>
              <w:right w:val="single" w:color="D0D8E4" w:sz="1"/>
            </w:tcBorders>
            <w:shd w:fill="FFFFFF" w:val="clear"/>
            <w:tcMar>
              <w:top w:type="dxa" w:w="72"/>
              <w:left w:type="dxa" w:w="160"/>
              <w:bottom w:type="dxa" w:w="72"/>
              <w:right w:type="dxa" w:w="160"/>
            </w:tcMar>
          </w:tcPr>
          <w:p>
            <w:r>
              <w:rPr>
                <w:rFonts w:ascii="Calibri" w:cs="Calibri" w:eastAsia="Calibri" w:hAnsi="Calibri"/>
                <w:color w:val="1F2937"/>
                <w:sz w:val="18"/>
                <w:szCs w:val="18"/>
              </w:rPr>
              <w:t xml:space="preserve">Unsachgemäße Nutzung (1. Verstoß)</w:t>
            </w:r>
          </w:p>
        </w:tc>
        <w:tc>
          <w:tcPr>
            <w:tcW w:type="dxa" w:w="3266"/>
            <w:tcBorders>
              <w:top w:val="none" w:color="FFFFFF" w:sz="0"/>
              <w:left w:val="none" w:color="FFFFFF" w:sz="0"/>
              <w:bottom w:val="single" w:color="D0D8E4" w:sz="1"/>
              <w:right w:val="none" w:color="FFFFFF" w:sz="0"/>
            </w:tcBorders>
            <w:shd w:fill="FFFFFF"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15,00 €</w:t>
            </w:r>
          </w:p>
        </w:tc>
      </w:tr>
      <w:tr>
        <w:tc>
          <w:tcPr>
            <w:tcW w:type="dxa" w:w="7200"/>
            <w:tcBorders>
              <w:top w:val="none" w:color="FFFFFF" w:sz="0"/>
              <w:left w:val="none" w:color="FFFFFF" w:sz="0"/>
              <w:bottom w:val="single" w:color="D0D8E4" w:sz="1"/>
              <w:right w:val="single" w:color="D0D8E4" w:sz="1"/>
            </w:tcBorders>
            <w:shd w:fill="F4F6F9" w:val="clear"/>
            <w:tcMar>
              <w:top w:type="dxa" w:w="72"/>
              <w:left w:type="dxa" w:w="160"/>
              <w:bottom w:type="dxa" w:w="72"/>
              <w:right w:type="dxa" w:w="160"/>
            </w:tcMar>
          </w:tcPr>
          <w:p>
            <w:r>
              <w:rPr>
                <w:rFonts w:ascii="Calibri" w:cs="Calibri" w:eastAsia="Calibri" w:hAnsi="Calibri"/>
                <w:color w:val="1F2937"/>
                <w:sz w:val="18"/>
                <w:szCs w:val="18"/>
              </w:rPr>
              <w:t xml:space="preserve">Schaden / Diebstahl – normales Fahrrad (Fahrlässigkeit)</w:t>
            </w:r>
          </w:p>
        </w:tc>
        <w:tc>
          <w:tcPr>
            <w:tcW w:type="dxa" w:w="3266"/>
            <w:tcBorders>
              <w:top w:val="none" w:color="FFFFFF" w:sz="0"/>
              <w:left w:val="none" w:color="FFFFFF" w:sz="0"/>
              <w:bottom w:val="single" w:color="D0D8E4" w:sz="1"/>
              <w:right w:val="none" w:color="FFFFFF" w:sz="0"/>
            </w:tcBorders>
            <w:shd w:fill="F4F6F9"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bis 500,00 €</w:t>
            </w:r>
          </w:p>
        </w:tc>
      </w:tr>
      <w:tr>
        <w:tc>
          <w:tcPr>
            <w:tcW w:type="dxa" w:w="7200"/>
            <w:tcBorders>
              <w:top w:val="none" w:color="FFFFFF" w:sz="0"/>
              <w:left w:val="none" w:color="FFFFFF" w:sz="0"/>
              <w:bottom w:val="single" w:color="1B5EA6" w:sz="2"/>
              <w:right w:val="single" w:color="D0D8E4" w:sz="1"/>
            </w:tcBorders>
            <w:shd w:fill="FFFFFF" w:val="clear"/>
            <w:tcMar>
              <w:top w:type="dxa" w:w="72"/>
              <w:left w:type="dxa" w:w="160"/>
              <w:bottom w:type="dxa" w:w="72"/>
              <w:right w:type="dxa" w:w="160"/>
            </w:tcMar>
          </w:tcPr>
          <w:p>
            <w:r>
              <w:rPr>
                <w:rFonts w:ascii="Calibri" w:cs="Calibri" w:eastAsia="Calibri" w:hAnsi="Calibri"/>
                <w:color w:val="1F2937"/>
                <w:sz w:val="18"/>
                <w:szCs w:val="18"/>
              </w:rPr>
              <w:t xml:space="preserve">Schaden / Diebstahl – E-Bike (Fahrlässigkeit)</w:t>
            </w:r>
          </w:p>
        </w:tc>
        <w:tc>
          <w:tcPr>
            <w:tcW w:type="dxa" w:w="3266"/>
            <w:tcBorders>
              <w:top w:val="none" w:color="FFFFFF" w:sz="0"/>
              <w:left w:val="none" w:color="FFFFFF" w:sz="0"/>
              <w:bottom w:val="single" w:color="1B5EA6" w:sz="2"/>
              <w:right w:val="none" w:color="FFFFFF" w:sz="0"/>
            </w:tcBorders>
            <w:shd w:fill="FFFFFF" w:val="clear"/>
            <w:tcMar>
              <w:top w:type="dxa" w:w="72"/>
              <w:left w:type="dxa" w:w="160"/>
              <w:bottom w:type="dxa" w:w="72"/>
              <w:right w:type="dxa" w:w="160"/>
            </w:tcMar>
          </w:tcPr>
          <w:p>
            <w:pPr>
              <w:jc w:val="right"/>
            </w:pPr>
            <w:r>
              <w:rPr>
                <w:rFonts w:ascii="Calibri" w:cs="Calibri" w:eastAsia="Calibri" w:hAnsi="Calibri"/>
                <w:b/>
                <w:bCs/>
                <w:color w:val="1B5EA6"/>
                <w:sz w:val="18"/>
                <w:szCs w:val="18"/>
              </w:rPr>
              <w:t xml:space="preserve">bis 2.000,00 €</w:t>
            </w:r>
          </w:p>
        </w:tc>
      </w:tr>
    </w:tbl>
    <w:p>
      <w:pPr>
        <w:spacing w:before="0" w:after="100"/>
      </w:pPr>
      <w:r>
        <w:t xml:space="preserve"/>
      </w:r>
    </w:p>
    <w:p>
      <w:pPr>
        <w:spacing w:before="100" w:after="60"/>
      </w:pPr>
      <w:r>
        <w:rPr>
          <w:rFonts w:ascii="Calibri" w:cs="Calibri" w:eastAsia="Calibri" w:hAnsi="Calibri"/>
          <w:b/>
          <w:bCs/>
          <w:color w:val="1B5EA6"/>
          <w:sz w:val="18"/>
          <w:szCs w:val="18"/>
        </w:rPr>
        <w:t>ℹ  Sonder- und Partnertarife: Der Anbieter kann im Rahmen von Sonderaktionen oder Partnerverträgen besondere Sonder- oder Partnertarife veröffentlichen. Informationen werden auf der offiziellen GO2GO-Website veröffentlicht.</w:t>
      </w:r>
      <w:r>
        <w:rPr>
          <w:rFonts w:ascii="Calibri" w:cs="Calibri" w:eastAsia="Calibri" w:hAnsi="Calibri"/>
          <w:color w:val="1F2937"/>
          <w:sz w:val="18"/>
          <w:szCs w:val="18"/>
        </w:rPr>
      </w:r>
    </w:p>
    <w:p>
      <w:pPr>
        <w:spacing w:before="0" w:after="80"/>
      </w:pPr>
      <w:r>
        <w:t xml:space="preserve"/>
      </w:r>
    </w:p>
    <w:p>
      <w:pPr>
        <w:spacing w:before="0" w:after="60"/>
      </w:pPr>
      <w:r>
        <w:rPr>
          <w:rFonts w:ascii="Calibri" w:cs="Calibri" w:eastAsia="Calibri" w:hAnsi="Calibri"/>
          <w:i/>
          <w:iCs/>
          <w:color w:val="888888"/>
          <w:sz w:val="15"/>
          <w:szCs w:val="15"/>
        </w:rPr>
        <w:t>Die Preisliste gilt für den automatisierten Fahrradverleih im Gebiet der Stadtgemeinde Nova Gorica, der Gemeinde Šempeter-Vrtojba und der Gemeinde Gorizia (Comune di Gorizia) (nextbike-System). Für nextbike-Systeme außerhalb Sloweniens und/oder Partnersysteme gelten die AGB der jeweiligen Partner. In Einzelfällen behält sich der Anbieter vor, die Gebühren entsprechend den tatsächlich entstandenen Kosten anzupassen. Rückgabeorte sind online und in der App sichtbar.</w:t>
      </w:r>
    </w:p>
    <w:p>
      <w:pPr>
        <w:spacing w:before="0" w:after="60"/>
      </w:pPr>
      <w:r>
        <w:t xml:space="preserve"/>
      </w:r>
    </w:p>
    <w:tbl>
      <w:tblPr>
        <w:tblW w:type="dxa" w:w="10466"/>
        <w:tblBorders>
          <w:top w:val="single" w:color="auto" w:sz="4"/>
          <w:left w:val="single" w:color="auto" w:sz="4"/>
          <w:bottom w:val="single" w:color="auto" w:sz="4"/>
          <w:right w:val="single" w:color="auto" w:sz="4"/>
          <w:insideH w:val="single" w:color="auto" w:sz="4"/>
          <w:insideV w:val="single" w:color="auto" w:sz="4"/>
        </w:tblBorders>
      </w:tblPr>
      <w:tblGrid>
        <w:gridCol w:w="10466"/>
      </w:tblGrid>
      <w:tr>
        <w:tc>
          <w:tcPr>
            <w:tcBorders>
              <w:top w:val="single" w:color="1B5EA6" w:sz="8"/>
              <w:left w:val="none" w:color="FFFFFF" w:sz="0"/>
              <w:bottom w:val="none" w:color="FFFFFF" w:sz="0"/>
              <w:right w:val="none" w:color="FFFFFF" w:sz="0"/>
            </w:tcBorders>
            <w:shd w:fill="F4F6F9" w:val="clear"/>
            <w:tcMar>
              <w:top w:type="dxa" w:w="110"/>
              <w:left w:type="dxa" w:w="160"/>
              <w:bottom w:type="dxa" w:w="110"/>
              <w:right w:type="dxa" w:w="160"/>
            </w:tcMar>
          </w:tcPr>
          <w:p>
            <w:r>
              <w:rPr>
                <w:rFonts w:ascii="Calibri" w:cs="Calibri" w:eastAsia="Calibri" w:hAnsi="Calibri"/>
                <w:b/>
                <w:bCs/>
                <w:color w:val="1B5EA6"/>
                <w:sz w:val="18"/>
                <w:szCs w:val="18"/>
              </w:rPr>
              <w:t xml:space="preserve">Kundenservice: </w:t>
            </w:r>
            <w:r>
              <w:rPr>
                <w:rFonts w:ascii="Calibri" w:cs="Calibri" w:eastAsia="Calibri" w:hAnsi="Calibri"/>
                <w:color w:val="1F2937"/>
                <w:sz w:val="18"/>
                <w:szCs w:val="18"/>
              </w:rPr>
              <w:t xml:space="preserve">+386 1 431 77 60</w:t>
            </w:r>
            <w:r>
              <w:rPr>
                <w:rFonts w:ascii="Calibri" w:cs="Calibri" w:eastAsia="Calibri" w:hAnsi="Calibri"/>
                <w:color w:val="D0D8E4"/>
                <w:sz w:val="18"/>
                <w:szCs w:val="18"/>
              </w:rPr>
              <w:t xml:space="preserve">   |   </w:t>
            </w:r>
            <w:r>
              <w:rPr>
                <w:rFonts w:ascii="Calibri" w:cs="Calibri" w:eastAsia="Calibri" w:hAnsi="Calibri"/>
                <w:b/>
                <w:bCs/>
                <w:color w:val="1B5EA6"/>
                <w:sz w:val="18"/>
                <w:szCs w:val="18"/>
              </w:rPr>
              <w:t xml:space="preserve">E-Mail: </w:t>
            </w:r>
            <w:r>
              <w:rPr>
                <w:rFonts w:ascii="Calibri" w:cs="Calibri" w:eastAsia="Calibri" w:hAnsi="Calibri"/>
                <w:color w:val="1F2937"/>
                <w:sz w:val="18"/>
                <w:szCs w:val="18"/>
              </w:rPr>
              <w:t xml:space="preserve">bikes@nomago.si</w:t>
            </w:r>
            <w:r>
              <w:rPr>
                <w:rFonts w:ascii="Calibri" w:cs="Calibri" w:eastAsia="Calibri" w:hAnsi="Calibri"/>
                <w:color w:val="D0D8E4"/>
                <w:sz w:val="18"/>
                <w:szCs w:val="18"/>
              </w:rPr>
              <w:t xml:space="preserve">   |   </w:t>
            </w:r>
            <w:r>
              <w:rPr>
                <w:rFonts w:ascii="Calibri" w:cs="Calibri" w:eastAsia="Calibri" w:hAnsi="Calibri"/>
                <w:b/>
                <w:bCs/>
                <w:color w:val="1B5EA6"/>
                <w:sz w:val="18"/>
                <w:szCs w:val="18"/>
              </w:rPr>
              <w:t xml:space="preserve">Webseite: </w:t>
            </w:r>
            <w:r>
              <w:rPr>
                <w:rFonts w:ascii="Calibri" w:cs="Calibri" w:eastAsia="Calibri" w:hAnsi="Calibri"/>
                <w:color w:val="1B5EA6"/>
                <w:sz w:val="18"/>
                <w:szCs w:val="18"/>
              </w:rPr>
              <w:t xml:space="preserve">www.nomago.si/izposoja-koles</w:t>
            </w:r>
          </w:p>
        </w:tc>
      </w:tr>
    </w:tbl>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image" Target="media/d061a33e5b82d32ad902bacd06f3c00537b482fd.png"/><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d90c39249aedc63fc3f8b5b683011acfe8121290.png"/><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D42D2164503C4EBED3DF507807142D" ma:contentTypeVersion="18" ma:contentTypeDescription="Ustvari nov dokument." ma:contentTypeScope="" ma:versionID="9a8638820537aec99fff481a07cd1ac3">
  <xsd:schema xmlns:xsd="http://www.w3.org/2001/XMLSchema" xmlns:xs="http://www.w3.org/2001/XMLSchema" xmlns:p="http://schemas.microsoft.com/office/2006/metadata/properties" xmlns:ns2="d8a2d5cf-94e2-4fbb-925d-51a9ed39dc76" xmlns:ns3="7cdaeab0-ee92-40ac-8482-9fa9f8f8a4df" targetNamespace="http://schemas.microsoft.com/office/2006/metadata/properties" ma:root="true" ma:fieldsID="da000b578cc71f0b1202a0458bcdeef1" ns2:_="" ns3:_="">
    <xsd:import namespace="d8a2d5cf-94e2-4fbb-925d-51a9ed39dc76"/>
    <xsd:import namespace="7cdaeab0-ee92-40ac-8482-9fa9f8f8a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d5cf-94e2-4fbb-925d-51a9ed39d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4a7c142-8c96-445c-abb7-7b4032fb3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aeab0-ee92-40ac-8482-9fa9f8f8a4df"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09965306-c6f4-47e8-8a27-fbfdb36a9800}" ma:internalName="TaxCatchAll" ma:showField="CatchAllData" ma:web="7cdaeab0-ee92-40ac-8482-9fa9f8f8a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a2d5cf-94e2-4fbb-925d-51a9ed39dc76">
      <Terms xmlns="http://schemas.microsoft.com/office/infopath/2007/PartnerControls"/>
    </lcf76f155ced4ddcb4097134ff3c332f>
    <TaxCatchAll xmlns="7cdaeab0-ee92-40ac-8482-9fa9f8f8a4df" xsi:nil="true"/>
  </documentManagement>
</p:properties>
</file>

<file path=customXml/itemProps1.xml><?xml version="1.0" encoding="utf-8"?>
<ds:datastoreItem xmlns:ds="http://schemas.openxmlformats.org/officeDocument/2006/customXml" ds:itemID="{4E5CE93A-DC24-4696-BE0C-2674CE5A1F3A}"/>
</file>

<file path=customXml/itemProps2.xml><?xml version="1.0" encoding="utf-8"?>
<ds:datastoreItem xmlns:ds="http://schemas.openxmlformats.org/officeDocument/2006/customXml" ds:itemID="{815328AF-B440-4065-B159-47FB50D9BF7A}"/>
</file>

<file path=customXml/itemProps3.xml><?xml version="1.0" encoding="utf-8"?>
<ds:datastoreItem xmlns:ds="http://schemas.openxmlformats.org/officeDocument/2006/customXml" ds:itemID="{E0C9E478-F37B-46DB-A145-181D98C07477}"/>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2026-02-26T09:35:12Z</dcterms:created>
  <dcterms:modified xsi:type="dcterms:W3CDTF">2026-02-26T09:35:12Z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0x01010018D42D2164503C4EBED3DF507807142D</vt:lpwstr>
  </property>
  <property fmtid="{D5CDD505-2E9C-101B-9397-08002B2CF9AE}" pid="3" name="MediaServiceImageTags">
    <vt:lpwstr/>
  </property>
</Properties>
</file>