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800"/>
        <w:gridCol w:w="5266"/>
        <w:gridCol w:w="2400"/>
      </w:tblGrid>
      <w:tr>
        <w:tc>
          <w:tcPr>
            <w:tcBorders>
              <w:top w:val="none" w:color="FFFFFF" w:sz="0"/>
              <w:left w:val="none" w:color="FFFFFF" w:sz="0"/>
              <w:bottom w:val="none" w:color="FFFFFF" w:sz="0"/>
              <w:right w:val="none" w:color="FFFFFF" w:sz="0"/>
            </w:tcBorders>
            <w:tcMar>
              <w:top w:type="dxa" w:w="0"/>
              <w:left w:type="dxa" w:w="0"/>
              <w:bottom w:type="dxa" w:w="0"/>
              <w:right w:type="dxa" w:w="0"/>
            </w:tcMar>
            <w:vAlign w:val="center"/>
          </w:tcPr>
          <w:p>
            <w:r>
              <w:drawing>
                <wp:inline distT="0" distB="0" distL="0" distR="0">
                  <wp:extent cx="1381125" cy="247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381125" cy="247650"/>
                          </a:xfrm>
                          <a:prstGeom prst="rect">
                            <a:avLst/>
                          </a:prstGeom>
                        </pic:spPr>
                      </pic:pic>
                    </a:graphicData>
                  </a:graphic>
                </wp:inline>
              </w:drawing>
            </w:r>
          </w:p>
        </w:tc>
        <w:tc>
          <w:tcPr>
            <w:tcBorders>
              <w:top w:val="none" w:color="FFFFFF" w:sz="0"/>
              <w:left w:val="none" w:color="FFFFFF" w:sz="0"/>
              <w:bottom w:val="none" w:color="FFFFFF" w:sz="0"/>
              <w:right w:val="none" w:color="FFFFFF" w:sz="0"/>
            </w:tcBorders>
            <w:tcMar>
              <w:top w:type="dxa" w:w="60"/>
              <w:left w:type="dxa" w:w="200"/>
              <w:bottom w:type="dxa" w:w="60"/>
              <w:right w:type="dxa" w:w="200"/>
            </w:tcMar>
            <w:vAlign w:val="center"/>
          </w:tcPr>
          <w:p>
            <w:pPr>
              <w:jc w:val="center"/>
            </w:pPr>
            <w:r>
              <w:rPr>
                <w:rFonts w:ascii="Calibri" w:cs="Calibri" w:eastAsia="Calibri" w:hAnsi="Calibri"/>
                <w:b/>
                <w:bCs/>
                <w:color w:val="1B5EA6"/>
                <w:sz w:val="21"/>
                <w:szCs w:val="21"/>
              </w:rPr>
              <w:t xml:space="preserve">TARIFFS FOR THE AUTOMATED BIKE-SHARING SYSTEM</w:t>
            </w:r>
          </w:p>
          <w:p>
            <w:pPr>
              <w:jc w:val="center"/>
            </w:pPr>
            <w:r>
              <w:rPr>
                <w:rFonts w:ascii="Calibri" w:cs="Calibri" w:eastAsia="Calibri" w:hAnsi="Calibri"/>
                <w:color w:val="888888"/>
                <w:sz w:val="17"/>
                <w:szCs w:val="17"/>
              </w:rPr>
              <w:t>Price list 02  ·  valid from 16.04.2026</w:t>
            </w:r>
          </w:p>
        </w:tc>
        <w:tc>
          <w:tcPr>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jc w:val="right"/>
            </w:pPr>
            <w:r>
              <w:drawing>
                <wp:inline distT="0" distB="0" distL="0" distR="0">
                  <wp:extent cx="131445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314450" cy="457200"/>
                          </a:xfrm>
                          <a:prstGeom prst="rect">
                            <a:avLst/>
                          </a:prstGeom>
                        </pic:spPr>
                      </pic:pic>
                    </a:graphicData>
                  </a:graphic>
                </wp:inline>
              </w:drawing>
            </w:r>
          </w:p>
        </w:tc>
      </w:tr>
    </w:tbl>
    <w:p>
      <w:pPr>
        <w:pBdr>
          <w:bottom w:val="single" w:color="F0A500" w:sz="14" w:space="1"/>
        </w:pBdr>
        <w:spacing w:before="60" w:after="14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100"/>
        <w:gridCol w:w="100"/>
        <w:gridCol w:w="5266"/>
      </w:tblGrid>
      <w:tr>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tbl>
            <w:tblPr>
              <w:tblW w:type="dxa" w:w="5100"/>
              <w:tblBorders>
                <w:top w:val="single" w:color="auto" w:sz="4"/>
                <w:left w:val="single" w:color="auto" w:sz="4"/>
                <w:bottom w:val="single" w:color="auto" w:sz="4"/>
                <w:right w:val="single" w:color="auto" w:sz="4"/>
                <w:insideH w:val="single" w:color="auto" w:sz="4"/>
                <w:insideV w:val="single" w:color="auto" w:sz="4"/>
              </w:tblBorders>
            </w:tblPr>
            <w:tblGrid>
              <w:gridCol w:w="5100"/>
            </w:tblGrid>
            <w:tr>
              <w:tc>
                <w:tcPr>
                  <w:tcBorders>
                    <w:top w:val="none" w:color="FFFFFF" w:sz="0"/>
                    <w:left w:val="none" w:color="FFFFFF" w:sz="0"/>
                    <w:bottom w:val="none" w:color="FFFFFF" w:sz="0"/>
                    <w:right w:val="none" w:color="FFFFFF" w:sz="0"/>
                  </w:tcBorders>
                  <w:shd w:fill="1B5EA6" w:val="clear"/>
                  <w:tcMar>
                    <w:top w:type="dxa" w:w="10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STANDARD RATE</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Basic minutes package (required for activation)</w:t>
                  </w:r>
                  <w:r>
                    <w:rPr>
                      <w:rFonts w:ascii="Calibri" w:cs="Calibri" w:eastAsia="Calibri" w:hAnsi="Calibri"/>
                      <w:b/>
                      <w:bCs/>
                      <w:color w:val="1B5EA6"/>
                      <w:sz w:val="18"/>
                      <w:szCs w:val="18"/>
                    </w:rPr>
                    <w:t xml:space="preserve">  5,00 €</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 includes 200 minutes of bike rental</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Regular bike</w:t>
                  </w:r>
                  <w:r>
                    <w:rPr>
                      <w:rFonts w:ascii="Calibri" w:cs="Calibri" w:eastAsia="Calibri" w:hAnsi="Calibri"/>
                      <w:b/>
                      <w:bCs/>
                      <w:color w:val="1B5EA6"/>
                      <w:sz w:val="18"/>
                      <w:szCs w:val="18"/>
                    </w:rPr>
                    <w:t xml:space="preserve">  0,50 € / 30 min</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E-bike</w:t>
                  </w:r>
                  <w:r>
                    <w:rPr>
                      <w:rFonts w:ascii="Calibri" w:cs="Calibri" w:eastAsia="Calibri" w:hAnsi="Calibri"/>
                      <w:b/>
                      <w:bCs/>
                      <w:color w:val="1B5EA6"/>
                      <w:sz w:val="18"/>
                      <w:szCs w:val="18"/>
                    </w:rPr>
                    <w:t xml:space="preserve">  1,00 € / 30 min</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Advance reservation (15 min)</w:t>
                  </w:r>
                  <w:r>
                    <w:rPr>
                      <w:rFonts w:ascii="Calibri" w:cs="Calibri" w:eastAsia="Calibri" w:hAnsi="Calibri"/>
                      <w:b/>
                      <w:bCs/>
                      <w:color w:val="1B5EA6"/>
                      <w:sz w:val="18"/>
                      <w:szCs w:val="18"/>
                    </w:rPr>
                    <w:t xml:space="preserve">  free</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Maximum daily price</w:t>
                  </w:r>
                  <w:r>
                    <w:rPr>
                      <w:rFonts w:ascii="Calibri" w:cs="Calibri" w:eastAsia="Calibri" w:hAnsi="Calibri"/>
                      <w:b/>
                      <w:bCs/>
                      <w:color w:val="1B5EA6"/>
                      <w:sz w:val="18"/>
                      <w:szCs w:val="18"/>
                    </w:rPr>
                    <w:t xml:space="preserve">  20,00 €</w:t>
                  </w:r>
                </w:p>
              </w:tc>
            </w:tr>
            <w:tr>
              <w:tc>
                <w:tcPr>
                  <w:tcBorders>
                    <w:top w:val="none" w:color="FFFFFF" w:sz="0"/>
                    <w:left w:val="none" w:color="FFFFFF" w:sz="0"/>
                    <w:bottom w:val="single" w:color="1B5EA6" w:sz="2"/>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 daily maximum applies for 24 hours from start of rental</w:t>
                  </w:r>
                </w:p>
              </w:tc>
            </w:tr>
          </w:tbl>
          <w:p/>
        </w:tc>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tbl>
            <w:tblPr>
              <w:tblW w:type="dxa" w:w="5266"/>
              <w:tblBorders>
                <w:top w:val="single" w:color="auto" w:sz="4"/>
                <w:left w:val="single" w:color="auto" w:sz="4"/>
                <w:bottom w:val="single" w:color="auto" w:sz="4"/>
                <w:right w:val="single" w:color="auto" w:sz="4"/>
                <w:insideH w:val="single" w:color="auto" w:sz="4"/>
                <w:insideV w:val="single" w:color="auto" w:sz="4"/>
              </w:tblBorders>
            </w:tblPr>
            <w:tblGrid>
              <w:gridCol w:w="5266"/>
            </w:tblGrid>
            <w:tr>
              <w:tc>
                <w:tcPr>
                  <w:tcBorders>
                    <w:top w:val="none" w:color="FFFFFF" w:sz="0"/>
                    <w:left w:val="none" w:color="FFFFFF" w:sz="0"/>
                    <w:bottom w:val="none" w:color="FFFFFF" w:sz="0"/>
                    <w:right w:val="none" w:color="FFFFFF" w:sz="0"/>
                  </w:tcBorders>
                  <w:shd w:fill="1B5EA6" w:val="clear"/>
                  <w:tcMar>
                    <w:top w:type="dxa" w:w="10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ANNUAL RATE</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Annual subscription</w:t>
                  </w:r>
                  <w:r>
                    <w:rPr>
                      <w:rFonts w:ascii="Calibri" w:cs="Calibri" w:eastAsia="Calibri" w:hAnsi="Calibri"/>
                      <w:b/>
                      <w:bCs/>
                      <w:color w:val="1B5EA6"/>
                      <w:sz w:val="18"/>
                      <w:szCs w:val="18"/>
                    </w:rPr>
                    <w:t xml:space="preserve">  20,00 €</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Duration</w:t>
                  </w:r>
                  <w:r>
                    <w:rPr>
                      <w:rFonts w:ascii="Calibri" w:cs="Calibri" w:eastAsia="Calibri" w:hAnsi="Calibri"/>
                      <w:b/>
                      <w:bCs/>
                      <w:color w:val="1B5EA6"/>
                      <w:sz w:val="18"/>
                      <w:szCs w:val="18"/>
                    </w:rPr>
                    <w:t xml:space="preserve">  12 months</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First 30 min of each rental</w:t>
                  </w:r>
                  <w:r>
                    <w:rPr>
                      <w:rFonts w:ascii="Calibri" w:cs="Calibri" w:eastAsia="Calibri" w:hAnsi="Calibri"/>
                      <w:b/>
                      <w:bCs/>
                      <w:color w:val="1B5EA6"/>
                      <w:sz w:val="18"/>
                      <w:szCs w:val="18"/>
                    </w:rPr>
                    <w:t xml:space="preserve">  free</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Regular bike (after 30 min)  0,50 € / 30 min</w:t>
                  </w:r>
                  <w:r>
                    <w:rPr>
                      <w:rFonts w:ascii="Calibri" w:cs="Calibri" w:eastAsia="Calibri" w:hAnsi="Calibri"/>
                      <w:b/>
                      <w:bCs/>
                      <w:color w:val="1B5EA6"/>
                      <w:sz w:val="18"/>
                      <w:szCs w:val="18"/>
                    </w:rPr>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E-bike (after 30 min)  1,00 € / 30 min</w:t>
                  </w:r>
                  <w:r>
                    <w:rPr>
                      <w:rFonts w:ascii="Calibri" w:cs="Calibri" w:eastAsia="Calibri" w:hAnsi="Calibri"/>
                      <w:b/>
                      <w:bCs/>
                      <w:color w:val="1B5EA6"/>
                      <w:sz w:val="18"/>
                      <w:szCs w:val="18"/>
                    </w:rPr>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1 bike / 1 user</w:t>
                  </w:r>
                </w:p>
              </w:tc>
            </w:tr>
            <w:tr>
              <w:tc>
                <w:tcPr>
                  <w:tcBorders>
                    <w:top w:val="none" w:color="FFFFFF" w:sz="0"/>
                    <w:left w:val="none" w:color="FFFFFF" w:sz="0"/>
                    <w:bottom w:val="single" w:color="1B5EA6" w:sz="2"/>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Minimum contract period</w:t>
                  </w:r>
                  <w:r>
                    <w:rPr>
                      <w:rFonts w:ascii="Calibri" w:cs="Calibri" w:eastAsia="Calibri" w:hAnsi="Calibri"/>
                      <w:b/>
                      <w:bCs/>
                      <w:color w:val="1B5EA6"/>
                      <w:sz w:val="18"/>
                      <w:szCs w:val="18"/>
                    </w:rPr>
                    <w:t xml:space="preserve">  12 months</w:t>
                  </w:r>
                </w:p>
              </w:tc>
            </w:tr>
          </w:tbl>
          <w:p/>
        </w:tc>
      </w:tr>
    </w:tbl>
    <w:p>
      <w:pPr>
        <w:spacing w:before="0" w:after="120"/>
      </w:pPr>
      <w:r>
        <w:t xml:space="preserv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7200"/>
        <w:gridCol w:w="3266"/>
      </w:tblGrid>
      <w:tr>
        <w:tc>
          <w:tcPr>
            <w:gridSpan w:val="2"/>
            <w:tcBorders>
              <w:top w:val="none" w:color="FFFFFF" w:sz="0"/>
              <w:left w:val="none" w:color="FFFFFF" w:sz="0"/>
              <w:bottom w:val="none" w:color="FFFFFF" w:sz="0"/>
              <w:right w:val="none" w:color="FFFFFF" w:sz="0"/>
            </w:tcBorders>
            <w:shd w:fill="1B5EA6" w:val="clear"/>
            <w:tcMar>
              <w:top w:type="dxa" w:w="9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FEES AND PENALTIES</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Issuance of user card</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3,00 €</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Improper bike return (1st offence)</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25,00 €</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Failure to lock properly – 1st offence</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written warning</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Failure to lock properly – each subsequent offence</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10,00 €</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Improper use of bike (1st offence)</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15,00 €</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Damage / theft – regular bike (negligence)</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up to 500,00 €</w:t>
            </w:r>
          </w:p>
        </w:tc>
      </w:tr>
      <w:tr>
        <w:tc>
          <w:tcPr>
            <w:tcW w:type="dxa" w:w="7200"/>
            <w:tcBorders>
              <w:top w:val="none" w:color="FFFFFF" w:sz="0"/>
              <w:left w:val="none" w:color="FFFFFF" w:sz="0"/>
              <w:bottom w:val="single" w:color="1B5EA6" w:sz="2"/>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Damage / theft – e-bike (negligence)</w:t>
            </w:r>
          </w:p>
        </w:tc>
        <w:tc>
          <w:tcPr>
            <w:tcW w:type="dxa" w:w="3266"/>
            <w:tcBorders>
              <w:top w:val="none" w:color="FFFFFF" w:sz="0"/>
              <w:left w:val="none" w:color="FFFFFF" w:sz="0"/>
              <w:bottom w:val="single" w:color="1B5EA6" w:sz="2"/>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up to 2.000,00 €</w:t>
            </w:r>
          </w:p>
        </w:tc>
      </w:tr>
    </w:tbl>
    <w:p>
      <w:pPr>
        <w:spacing w:before="0" w:after="100"/>
      </w:pPr>
      <w:r>
        <w:t xml:space="preserve"/>
      </w:r>
    </w:p>
    <w:p>
      <w:pPr>
        <w:spacing w:before="100" w:after="60"/>
      </w:pPr>
      <w:r>
        <w:rPr>
          <w:rFonts w:ascii="Calibri" w:cs="Calibri" w:eastAsia="Calibri" w:hAnsi="Calibri"/>
          <w:b/>
          <w:bCs/>
          <w:color w:val="1B5EA6"/>
          <w:sz w:val="18"/>
          <w:szCs w:val="18"/>
        </w:rPr>
        <w:t>ℹ  Promotional and partner rates: The provider may publish special promotional or partner rates as part of special campaigns or partnership agreements. Information will be published on the official GO2GO website.</w:t>
      </w:r>
      <w:r>
        <w:rPr>
          <w:rFonts w:ascii="Calibri" w:cs="Calibri" w:eastAsia="Calibri" w:hAnsi="Calibri"/>
          <w:color w:val="1F2937"/>
          <w:sz w:val="18"/>
          <w:szCs w:val="18"/>
        </w:rPr>
      </w:r>
    </w:p>
    <w:p>
      <w:pPr>
        <w:spacing w:before="0" w:after="80"/>
      </w:pPr>
      <w:r>
        <w:t xml:space="preserve"/>
      </w:r>
    </w:p>
    <w:p>
      <w:pPr>
        <w:spacing w:before="0" w:after="60"/>
      </w:pPr>
      <w:r>
        <w:rPr>
          <w:rFonts w:ascii="Calibri" w:cs="Calibri" w:eastAsia="Calibri" w:hAnsi="Calibri"/>
          <w:i/>
          <w:iCs/>
          <w:color w:val="888888"/>
          <w:sz w:val="15"/>
          <w:szCs w:val="15"/>
        </w:rPr>
        <w:t>The price list applies to the automated bike-sharing system in the area of the City Municipality of Nova Gorica, the Municipality of Šempeter-Vrtojba and the Municipality of Gorizia (Comune di Gorizia) (nextbike system). For nextbike systems outside Slovenia and/or partner systems, the general terms and conditions of the respective partners apply. In certain cases, the provider reserves the right to change service fees in accordance with actual costs incurred. Return locations are shown online and in the mobile app.</w:t>
      </w:r>
    </w:p>
    <w:p>
      <w:pPr>
        <w:spacing w:before="0" w:after="60"/>
      </w:pPr>
      <w:r>
        <w:t xml:space="preserv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Borders>
              <w:top w:val="single" w:color="1B5EA6" w:sz="8"/>
              <w:left w:val="none" w:color="FFFFFF" w:sz="0"/>
              <w:bottom w:val="none" w:color="FFFFFF" w:sz="0"/>
              <w:right w:val="none" w:color="FFFFFF" w:sz="0"/>
            </w:tcBorders>
            <w:shd w:fill="F4F6F9" w:val="clear"/>
            <w:tcMar>
              <w:top w:type="dxa" w:w="110"/>
              <w:left w:type="dxa" w:w="160"/>
              <w:bottom w:type="dxa" w:w="110"/>
              <w:right w:type="dxa" w:w="160"/>
            </w:tcMar>
          </w:tcPr>
          <w:p>
            <w:r>
              <w:rPr>
                <w:rFonts w:ascii="Calibri" w:cs="Calibri" w:eastAsia="Calibri" w:hAnsi="Calibri"/>
                <w:b/>
                <w:bCs/>
                <w:color w:val="1B5EA6"/>
                <w:sz w:val="18"/>
                <w:szCs w:val="18"/>
              </w:rPr>
              <w:t xml:space="preserve">Customer support: </w:t>
            </w:r>
            <w:r>
              <w:rPr>
                <w:rFonts w:ascii="Calibri" w:cs="Calibri" w:eastAsia="Calibri" w:hAnsi="Calibri"/>
                <w:color w:val="1F2937"/>
                <w:sz w:val="18"/>
                <w:szCs w:val="18"/>
              </w:rPr>
              <w:t xml:space="preserve">+386 1 431 77 60</w:t>
            </w:r>
            <w:r>
              <w:rPr>
                <w:rFonts w:ascii="Calibri" w:cs="Calibri" w:eastAsia="Calibri" w:hAnsi="Calibri"/>
                <w:color w:val="D0D8E4"/>
                <w:sz w:val="18"/>
                <w:szCs w:val="18"/>
              </w:rPr>
              <w:t xml:space="preserve">   |   </w:t>
            </w:r>
            <w:r>
              <w:rPr>
                <w:rFonts w:ascii="Calibri" w:cs="Calibri" w:eastAsia="Calibri" w:hAnsi="Calibri"/>
                <w:b/>
                <w:bCs/>
                <w:color w:val="1B5EA6"/>
                <w:sz w:val="18"/>
                <w:szCs w:val="18"/>
              </w:rPr>
              <w:t xml:space="preserve">Email: </w:t>
            </w:r>
            <w:r>
              <w:rPr>
                <w:rFonts w:ascii="Calibri" w:cs="Calibri" w:eastAsia="Calibri" w:hAnsi="Calibri"/>
                <w:color w:val="1F2937"/>
                <w:sz w:val="18"/>
                <w:szCs w:val="18"/>
              </w:rPr>
              <w:t xml:space="preserve">bikes@nomago.si</w:t>
            </w:r>
            <w:r>
              <w:rPr>
                <w:rFonts w:ascii="Calibri" w:cs="Calibri" w:eastAsia="Calibri" w:hAnsi="Calibri"/>
                <w:color w:val="D0D8E4"/>
                <w:sz w:val="18"/>
                <w:szCs w:val="18"/>
              </w:rPr>
              <w:t xml:space="preserve">   |   </w:t>
            </w:r>
            <w:r>
              <w:rPr>
                <w:rFonts w:ascii="Calibri" w:cs="Calibri" w:eastAsia="Calibri" w:hAnsi="Calibri"/>
                <w:b/>
                <w:bCs/>
                <w:color w:val="1B5EA6"/>
                <w:sz w:val="18"/>
                <w:szCs w:val="18"/>
              </w:rPr>
              <w:t xml:space="preserve">Website: </w:t>
            </w:r>
            <w:r>
              <w:rPr>
                <w:rFonts w:ascii="Calibri" w:cs="Calibri" w:eastAsia="Calibri" w:hAnsi="Calibri"/>
                <w:color w:val="1B5EA6"/>
                <w:sz w:val="18"/>
                <w:szCs w:val="18"/>
              </w:rPr>
              <w:t xml:space="preserve">www.nomago.si/izposoja-koles</w:t>
            </w:r>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image" Target="media/d061a33e5b82d32ad902bacd06f3c00537b482fd.png"/><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d90c39249aedc63fc3f8b5b683011acfe8121290.png"/><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4CE4DC1D-39C2-4F1F-B1DE-4A6D07F64C43}"/>
</file>

<file path=customXml/itemProps2.xml><?xml version="1.0" encoding="utf-8"?>
<ds:datastoreItem xmlns:ds="http://schemas.openxmlformats.org/officeDocument/2006/customXml" ds:itemID="{5FAB1AEA-895D-4B5F-ACF4-B2AB01DCE57C}"/>
</file>

<file path=customXml/itemProps3.xml><?xml version="1.0" encoding="utf-8"?>
<ds:datastoreItem xmlns:ds="http://schemas.openxmlformats.org/officeDocument/2006/customXml" ds:itemID="{67EF20AB-B116-4AC3-835A-CF237F0B0DF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2026-02-26T09:35:12Z</dcterms:created>
  <dcterms:modified xsi:type="dcterms:W3CDTF">2026-02-26T09:35:12Z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